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365</w:t>
      </w:r>
    </w:p>
    <w:p>
      <w:r>
        <w:t>Bundesgericht (BGE), 2010-01-01, FR</w:t>
      </w:r>
    </w:p>
    <w:p>
      <w:r>
        <w:rPr>
          <w:b/>
        </w:rPr>
        <w:t xml:space="preserve">Quelle: </w:t>
      </w:r>
      <w:r>
        <w:t>https://mcp.opencaselaw.ch/entscheid/bge_136 III 365</w:t>
      </w:r>
    </w:p>
    <w:p>
      <w:r>
        <w:t>FR: ATF 136 III 365</w:t>
      </w:r>
    </w:p>
    <w:p>
      <w:r>
        <w:t>IT: DTF 136 III 365</w:t>
      </w:r>
    </w:p>
    <w:p>
      <w:pPr>
        <w:pStyle w:val="Heading2"/>
      </w:pPr>
      <w:r>
        <w:t>Regeste</w:t>
      </w:r>
    </w:p>
    <w:p>
      <w:r>
        <w:t>Regeste Art. 318 Abs. 1 ZGB; Abänderung des Unterhaltsbeitrages für ein aussereheliches Kind; Legitimation des Inhabers der elterlichen Sorge. Der Grundsatz, wonach aufgrund von Art. 318 Abs. 1 ZGB der Inhaber der elterlichen Sorge die Rechte des minderjährigen Kindes in eigenem Namen ausüben und vor Gericht oder in einer Betreibung geltend machen kann, indem er persönlich als Partei handelt, gilt für alle Fragen vermögensrechtlicher Natur, einschliesslich diejenigen betreffend die Unterhaltsbeiträge. Die Aktiv- oder Passivlegitimation muss deshalb dem Inhaber der elterlichen Sorge ebenso wie dem minderjährigen Kind zuerkannt werden, auch wenn die Abänderung des Unterhaltsbeitrages für ein aussereheliches Kind streitig ist (E. 2).</w:t>
      </w:r>
    </w:p>
    <w:p>
      <w:pPr>
        <w:pStyle w:val="Heading2"/>
      </w:pPr>
      <w:r>
        <w:t>Erwägungen</w:t>
      </w:r>
    </w:p>
    <w:p>
      <w:r>
        <w:rPr>
          <w:b/>
        </w:rPr>
        <w:t>E. 2</w:t>
      </w:r>
    </w:p>
    <w:p>
      <w:r>
        <w:t>En première instance cantonale, le recourant a dirigé sa "requête en fixation d'une pension alimentaire" contre la mère de l'enfant. Dans son mémoire de réponse, celle-ci a indiqué qu'elle s'en rapportait à justice quant à la légitimation passive, l'enfant étant en réalité le créancier de la contribution d'entretien et donc le titulaire des droits dont le BGE 136 III 365 S. 367 demandeur souhaitait la modification. Le Tribunal de première instance ne s'est pas prononcé sur ce point. Quant à la Cour de justice, elle a, de son propre chef et sans aucune motivation, modifié la dénomination des parties, tant dans le rubrum que dans le corps de l'arrêt, en ce sens que la demande est dirigée contre l'enfant représenté par sa mère. Dans sa réponse au présent recours, l'enfant rappelle, à titre liminaire, que le Tribunal de première instance a été requis de se prononcer sur la question de la légitimation passive, dès lors que la demande a été déposée contre sa mère alors qu'elle-même est créancière de la contribution d'entretien et, partant, titulaire des droits dont le demandeur souhaite la modification.</w:t>
      </w:r>
    </w:p>
    <w:p>
      <w:r>
        <w:rPr>
          <w:b/>
        </w:rPr>
        <w:t>E. 2.1</w:t>
      </w:r>
    </w:p>
    <w:p>
      <w:r>
        <w:t>La qualité pour agir et la qualité pour défendre appartiennent aux conditions matérielles de la prétention litigieuse. Elles se déterminent selon le droit au fond et leur défaut conduit au rejet de l'action, qui intervient indépendamment de la réalisation des éléments objectifs de la prétention litigieuse. Ainsi, l'admission de la qualité pour défendre signifie que le demandeur peut faire valoir sa prétention contre le défendeur, en tant que sujet passif de l'obligation en cause. Cette question, qui ressortit au droit fédéral ( ATF 130 III 417 consid. 3.1 p. 424), doit en particulier être examinée d'office et librement ( ATF 130 III 550 consid. 2 p. 551 s.; ATF 126 III 59 consid. 1a p. 63).</w:t>
      </w:r>
    </w:p>
    <w:p>
      <w:r>
        <w:rPr>
          <w:b/>
        </w:rPr>
        <w:t>E. 2.2</w:t>
      </w:r>
    </w:p>
    <w:p>
      <w:r>
        <w:t>Selon l' art. 318 al. 1 CC , les père et mère administrent les biens de l'enfant aussi longtemps qu'ils ont l'autorité parentale. La jurisprudence en a déduit que le détenteur de l'autorité parentale, qui a l'administration et la jouissance des biens de l'enfant mineur en vertu d'un droit propre, peut protéger en son nom les droits patrimoniaux de l'enfant et les faire valoir en justice en agissant personnellement comme partie ( ATF 84 II 241 p. 245, relatif à l'ancien art. 290 al. 1 CC , dont la teneur est identique à l'actuel art. 318 al. 1 CC ; ATF 90 II 351 consid. 3 p. 355/356). La doctrine partage majoritairement ce point de vue, considérant par exemple que la demande de modification de la contribution à l'entretien de l'enfant fixée par le jugement de divorce peut être dirigée contre le détenteur de l'autorité parentale en tant que "Prozessstandschafter", disposant de la faculté d'être poursuivi en justice pour le droit d'autrui (cf. par exemple BÜHLER/SPÜHLER, Berner Kommentar [3 e éd. 1980] et Ergänzungsband, [1980], n os 59 et 279 ad ancien art. 156 CC ; HEGNAUER, Berner Kommentar, 3 e éd. 1964, n° 63 ad art. 286 CC ). Le Tribunal fédéral en a jugé de même dans le contexte d'une procédure de modification du jugement de divorce tendant également à la restitution de contributions d'entretien payées en BGE 136 III 365 S. 368 trop, estimant que celles-ci faisaient partie de la fortune de l'enfant et que la faculté du détenteur de l'autorité parentale de conduire un procès en son propre nom et comme partie à la place de l'enfant obligé concerne la fortune de celui-ci considérée dans son ensemble (arrêt 5C.314/2001 du 20 juin 2002 consid. 7 et 9, non publiés in ATF 128 III 305 ). Le principe selon lequel, en vertu de l' art. 318 al. 1 CC , le détenteur de l'autorité parentale a qualité pour exercer en son nom les droits de l'enfant mineur et pour les faire valoir en justice ou dans une poursuite en agissant personnellement comme partie doit finalement valoir pour toutes les questions de nature pécuniaire et, par conséquent aussi, d'une manière générale, pour celles relatives à des contributions d'entretien. Il s'ensuit que la légitimation active ou passive doit être reconnue aussi bien au détenteur de l'autorité parentale qu'à l'enfant mineur (cf. ATF 90 II 351 précité). Tel est également le cas lorsque, comme en l'espèce, le litige porte sur la modification d'une contribution d'entretien fixée par convention approuvée par l'autorité tutélaire pour un enfant né hors mariage. Dès lors, la jurisprudence contraire de l'arrêt 5A_104/2009 du 19 mars 2009 ne saurait être maintenue. La légitimation passive de la mère, contre qui l'action a été dirigée, doit donc être admise. Il convient, par conséquent, de modifier dans ce sens la dénomination des parties telle qu'elle ressort de l'arrêt déféré.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